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Standardrutiner:</w:t>
      </w:r>
      <w:r w:rsidR="003A1237" w:rsidRPr="003A1237">
        <w:t xml:space="preserve"> </w:t>
      </w:r>
      <w:r w:rsidR="003A1237" w:rsidRPr="003A1237">
        <w:rPr>
          <w:b w:val="0"/>
        </w:rPr>
        <w:t>Uppfödning av mjölkrastjur</w:t>
      </w:r>
      <w:r>
        <w:rPr>
          <w:b w:val="0"/>
        </w:rPr>
        <w:t xml:space="preserve"> </w:t>
      </w:r>
    </w:p>
    <w:p w:rsidR="00475179" w:rsidRPr="00D74CCA" w:rsidRDefault="003A1237" w:rsidP="00BE580B">
      <w:pPr>
        <w:pStyle w:val="SOPRubrik"/>
      </w:pPr>
      <w:r>
        <w:rPr>
          <w:b w:val="0"/>
        </w:rPr>
        <w:t>1</w:t>
      </w:r>
      <w:r w:rsidR="00F70DF5" w:rsidRPr="00BD495B">
        <w:rPr>
          <w:b w:val="0"/>
        </w:rPr>
        <w:t xml:space="preserve"> </w:t>
      </w:r>
      <w:r>
        <w:t>Mottagning</w:t>
      </w:r>
    </w:p>
    <w:p w:rsidR="00DC2D7D" w:rsidRPr="00DC2D7D" w:rsidRDefault="00DC2D7D" w:rsidP="00BE580B">
      <w:pPr>
        <w:pStyle w:val="SOPml"/>
      </w:pPr>
      <w:r>
        <w:t xml:space="preserve">Mål: </w:t>
      </w:r>
      <w:r w:rsidR="003A1237" w:rsidRPr="003A1237">
        <w:rPr>
          <w:b w:val="0"/>
          <w:sz w:val="28"/>
        </w:rPr>
        <w:t>Friska djur, låg dödlighet och god tillväxt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632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3261"/>
      </w:tblGrid>
      <w:tr w:rsidR="003A1237" w:rsidTr="000F2946">
        <w:trPr>
          <w:cantSplit/>
        </w:trPr>
        <w:tc>
          <w:tcPr>
            <w:tcW w:w="1134" w:type="dxa"/>
          </w:tcPr>
          <w:p w:rsidR="003A1237" w:rsidRPr="00CB387D" w:rsidRDefault="003A123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1.1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 xml:space="preserve">Djuren sätts in i väl rengjort stall/avdelning med ett klimat som är torrt och drag fritt. </w:t>
            </w:r>
          </w:p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</w:p>
          <w:p w:rsidR="003A1237" w:rsidRPr="003A1237" w:rsidRDefault="003A1237" w:rsidP="003A1237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>Om vatten används vid rengöring är det viktig att alla ytor hinner torka, rengör annars endast mekaniskt.</w:t>
            </w:r>
          </w:p>
        </w:tc>
        <w:tc>
          <w:tcPr>
            <w:tcW w:w="3261" w:type="dxa"/>
            <w:hideMark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265237" cy="1686983"/>
                  <wp:effectExtent l="0" t="0" r="0" b="8890"/>
                  <wp:docPr id="4" name="Bildobjekt 4" descr="C:\Users\ba243\Desktop\Bearb\322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22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237" cy="168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237" w:rsidTr="003A1237">
        <w:tc>
          <w:tcPr>
            <w:tcW w:w="1134" w:type="dxa"/>
          </w:tcPr>
          <w:p w:rsidR="003A1237" w:rsidRPr="00CB387D" w:rsidRDefault="003A123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1.2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>Gruppera djuren så att det är max 10 djur i varje box, minimera ålderspridning.</w:t>
            </w:r>
          </w:p>
        </w:tc>
        <w:tc>
          <w:tcPr>
            <w:tcW w:w="3261" w:type="dxa"/>
            <w:hideMark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2036234" cy="1527175"/>
                  <wp:effectExtent l="0" t="0" r="2540" b="0"/>
                  <wp:docPr id="3" name="Bildobjekt 3" descr="C:\Users\ba243\Desktop\Bearb\080521 Köttkur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080521 Köttkur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32" cy="153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237" w:rsidTr="003A1237">
        <w:tc>
          <w:tcPr>
            <w:tcW w:w="1134" w:type="dxa"/>
          </w:tcPr>
          <w:p w:rsidR="003A1237" w:rsidRPr="00CB387D" w:rsidRDefault="003A123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1.3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 xml:space="preserve">Ta inte emot sjuka kalvar. Om detta ändå måste göras, placera och isolera det sjuka djuret i </w:t>
            </w:r>
            <w:proofErr w:type="spellStart"/>
            <w:r w:rsidRPr="003A1237">
              <w:rPr>
                <w:rFonts w:ascii="Verdana" w:hAnsi="Verdana"/>
              </w:rPr>
              <w:t>sjukbox</w:t>
            </w:r>
            <w:proofErr w:type="spellEnd"/>
            <w:r w:rsidRPr="003A1237">
              <w:rPr>
                <w:rFonts w:ascii="Verdana" w:hAnsi="Verdana"/>
              </w:rPr>
              <w:t>.</w:t>
            </w:r>
          </w:p>
        </w:tc>
        <w:tc>
          <w:tcPr>
            <w:tcW w:w="3261" w:type="dxa"/>
            <w:hideMark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bookmarkStart w:id="0" w:name="_GoBack"/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930400" cy="1447799"/>
                  <wp:effectExtent l="0" t="0" r="0" b="635"/>
                  <wp:docPr id="5" name="Bildobjekt 5" descr="C:\Users\ba243\Desktop\Bearb\322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22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523" cy="145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A1237" w:rsidTr="003A1237">
        <w:tc>
          <w:tcPr>
            <w:tcW w:w="1134" w:type="dxa"/>
          </w:tcPr>
          <w:p w:rsidR="003A1237" w:rsidRPr="00CB387D" w:rsidRDefault="003A1237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1.4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 xml:space="preserve">Utfodra kalvarna med fräscht och näringsrikt </w:t>
            </w:r>
            <w:r>
              <w:rPr>
                <w:rFonts w:ascii="Verdana" w:hAnsi="Verdana"/>
              </w:rPr>
              <w:t>foder. Kraftfoder och eventuell</w:t>
            </w:r>
            <w:r w:rsidRPr="003A1237">
              <w:rPr>
                <w:rFonts w:ascii="Verdana" w:hAnsi="Verdana"/>
              </w:rPr>
              <w:t xml:space="preserve"> mjölknäring</w:t>
            </w:r>
            <w:r>
              <w:rPr>
                <w:rFonts w:ascii="Verdana" w:hAnsi="Verdana"/>
              </w:rPr>
              <w:t>,</w:t>
            </w:r>
            <w:r w:rsidRPr="003A1237">
              <w:rPr>
                <w:rFonts w:ascii="Verdana" w:hAnsi="Verdana"/>
              </w:rPr>
              <w:t xml:space="preserve"> gärna av sammas sort</w:t>
            </w:r>
            <w:r>
              <w:rPr>
                <w:rFonts w:ascii="Verdana" w:hAnsi="Verdana"/>
              </w:rPr>
              <w:t>,</w:t>
            </w:r>
            <w:r w:rsidRPr="003A1237">
              <w:rPr>
                <w:rFonts w:ascii="Verdana" w:hAnsi="Verdana"/>
              </w:rPr>
              <w:t xml:space="preserve"> som kalvarna utfodrats med hos säljaren. </w:t>
            </w:r>
          </w:p>
        </w:tc>
        <w:tc>
          <w:tcPr>
            <w:tcW w:w="3261" w:type="dxa"/>
            <w:hideMark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149350" cy="1532467"/>
                  <wp:effectExtent l="0" t="0" r="0" b="0"/>
                  <wp:docPr id="6" name="Bildobjekt 6" descr="C:\Users\ba243\Desktop\Bearb\322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22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53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237" w:rsidTr="003A1237">
        <w:tc>
          <w:tcPr>
            <w:tcW w:w="1134" w:type="dxa"/>
          </w:tcPr>
          <w:p w:rsidR="003A1237" w:rsidRPr="00CB387D" w:rsidRDefault="003A1237" w:rsidP="006A0317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 xml:space="preserve">Kontrollera att alla djur äter och dricker. En del djur kan behöva lära sig det nya systemet. Sjuka eller skadade djur behandlas </w:t>
            </w:r>
            <w:proofErr w:type="spellStart"/>
            <w:r w:rsidRPr="003A1237">
              <w:rPr>
                <w:rFonts w:ascii="Verdana" w:hAnsi="Verdana"/>
              </w:rPr>
              <w:t>ev</w:t>
            </w:r>
            <w:proofErr w:type="spellEnd"/>
            <w:r w:rsidRPr="003A1237">
              <w:rPr>
                <w:rFonts w:ascii="Verdana" w:hAnsi="Verdana"/>
              </w:rPr>
              <w:t xml:space="preserve"> och flyttas. Mycket ranglåga djur kan behöva flyttas.</w:t>
            </w:r>
          </w:p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930400" cy="1447801"/>
                  <wp:effectExtent l="0" t="0" r="0" b="0"/>
                  <wp:docPr id="9" name="Bildobjekt 9" descr="C:\Users\ba243\Desktop\Bearb\E500_2009-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243\Desktop\Bearb\E500_2009-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52" cy="144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237" w:rsidTr="003A1237">
        <w:tc>
          <w:tcPr>
            <w:tcW w:w="1134" w:type="dxa"/>
          </w:tcPr>
          <w:p w:rsidR="003A1237" w:rsidRPr="00CB387D" w:rsidRDefault="003A1237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1.6</w:t>
            </w:r>
          </w:p>
        </w:tc>
        <w:tc>
          <w:tcPr>
            <w:tcW w:w="6237" w:type="dxa"/>
          </w:tcPr>
          <w:p w:rsidR="003A1237" w:rsidRPr="003A1237" w:rsidRDefault="003A1237" w:rsidP="002D1806">
            <w:pPr>
              <w:pStyle w:val="Ingetavstnd"/>
              <w:rPr>
                <w:rFonts w:ascii="Verdana" w:hAnsi="Verdana"/>
              </w:rPr>
            </w:pPr>
            <w:r w:rsidRPr="003A1237">
              <w:rPr>
                <w:rFonts w:ascii="Verdana" w:hAnsi="Verdana"/>
              </w:rPr>
              <w:t>Djuren bör hållas i isolerade från övriga besättningen</w:t>
            </w:r>
            <w:r>
              <w:rPr>
                <w:rFonts w:ascii="Verdana" w:hAnsi="Verdana"/>
              </w:rPr>
              <w:t xml:space="preserve"> i</w:t>
            </w:r>
            <w:r w:rsidRPr="003A1237">
              <w:rPr>
                <w:rFonts w:ascii="Verdana" w:hAnsi="Verdana"/>
              </w:rPr>
              <w:t xml:space="preserve"> minst 1 mån</w:t>
            </w:r>
            <w:r>
              <w:rPr>
                <w:rFonts w:ascii="Verdana" w:hAnsi="Verdana"/>
              </w:rPr>
              <w:t>ad</w:t>
            </w:r>
            <w:r w:rsidRPr="003A1237">
              <w:rPr>
                <w:rFonts w:ascii="Verdana" w:hAnsi="Verdana"/>
              </w:rPr>
              <w:t>.</w:t>
            </w:r>
          </w:p>
        </w:tc>
        <w:tc>
          <w:tcPr>
            <w:tcW w:w="3261" w:type="dxa"/>
          </w:tcPr>
          <w:p w:rsidR="003A1237" w:rsidRPr="003A1237" w:rsidRDefault="000F294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416050" cy="1888067"/>
                  <wp:effectExtent l="0" t="0" r="0" b="0"/>
                  <wp:docPr id="7" name="Bildobjekt 7" descr="C:\Users\ba243\Desktop\Bearb\3273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243\Desktop\Bearb\3273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88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 w:rsidP="003A1237">
      <w:pPr>
        <w:pStyle w:val="Ingetavstnd"/>
      </w:pPr>
    </w:p>
    <w:sectPr w:rsidR="008C3969" w:rsidRPr="00160A64" w:rsidSect="00CC30BE">
      <w:headerReference w:type="default" r:id="rId15"/>
      <w:footerReference w:type="default" r:id="rId16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3A1237" w:rsidP="008C3969">
          <w:pPr>
            <w:pStyle w:val="SOPFottext"/>
            <w:tabs>
              <w:tab w:val="clear" w:pos="426"/>
            </w:tabs>
          </w:pPr>
          <w:r>
            <w:t>Uppfödning av mjölkrastjurar: Mottagning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0F2946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0F2946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31ECD"/>
    <w:rsid w:val="0036104B"/>
    <w:rsid w:val="00361579"/>
    <w:rsid w:val="003A1237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A0317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C5E7-CB37-4FD6-902C-2AC7122F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11</TotalTime>
  <Pages>2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3</cp:revision>
  <dcterms:created xsi:type="dcterms:W3CDTF">2015-09-04T10:25:00Z</dcterms:created>
  <dcterms:modified xsi:type="dcterms:W3CDTF">2015-09-10T08:59:00Z</dcterms:modified>
</cp:coreProperties>
</file>